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МУНИЦИПАЛЬНОЕ АВТОНОМНОЕ УЧРЕЖДЕНИЕ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ДОПОЛНИТЕЛЬНОГО ОБРАЗОВАНИЯ «ДЕТСКАЯ ШКОЛА ИСКУССТВ»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МУНИЦИПАЛЬНОГО РАЙОНА БАЛТАЧЕВСКИЙ РАЙОН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РЕСПУБЛИКИ БАШКОРТОСТАН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ДОПОЛНИТЕЛЬНАЯ ОБЩЕРАЗВИВАЮЩАЯ ПРОГРАММА В ОБЛАСТИ МУЗЫКАЛЬНОГО ИСКУССТВА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val="ba-RU" w:eastAsia="ru-RU"/>
        </w:rPr>
        <w:t xml:space="preserve">СОЛЬНОЕ ПЕНИЕ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»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Предметная область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УЧЕБНЫЕ ПРЕДМЕТЫ ИСПОЛНИТЕЛЬСКОЙ ПОДГОТОВКИ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36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ПРОГРАММА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по учебному предмету </w:t>
      </w:r>
      <w:r/>
    </w:p>
    <w:p>
      <w:pPr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ОСНОВЫ МУЗЫКАЛЬНОГО ИСПОЛНИТЕЛЬСТВА</w:t>
      </w:r>
      <w:r/>
    </w:p>
    <w:p>
      <w:pPr>
        <w:jc w:val="center"/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СОЛЬНОЕ ПЕНИЕ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</w:t>
      </w:r>
      <w:r/>
    </w:p>
    <w:p>
      <w:pPr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1322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120"/>
        <w:jc w:val="center"/>
        <w:spacing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Старобалтачево –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г.</w:t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10"/>
        <w:gridCol w:w="4746"/>
      </w:tblGrid>
      <w:tr>
        <w:trPr>
          <w:trHeight w:val="2051"/>
        </w:trPr>
        <w:tc>
          <w:tcPr>
            <w:tcW w:w="47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Одобрено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Методическим советом МАУ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ДО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«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Детская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школа искусств» МР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Балтачевский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район РБ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Протокол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 №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SimSun"/>
                <w:sz w:val="24"/>
                <w:szCs w:val="24"/>
                <w:lang w:val="en-US"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о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т «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30» 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августа 20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21</w:t>
            </w:r>
            <w:r>
              <w:rPr>
                <w:rFonts w:ascii="Times New Roman" w:hAnsi="Times New Roman" w:cs="Times New Roman" w:eastAsia="SimSun"/>
                <w:lang w:val="en-US" w:bidi="hi-IN" w:eastAsia="hi-IN"/>
              </w:rPr>
              <w:t xml:space="preserve"> г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Утверждаю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Директор  МАУ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ДО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«Детская школа искусств»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МР 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Балтачевский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район РБ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____________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Г.Л.Рахимзянова</w:t>
            </w:r>
            <w:r/>
          </w:p>
          <w:p>
            <w:pPr>
              <w:spacing w:after="0"/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      </w:t>
            </w:r>
            <w:r>
              <w:rPr>
                <w:rFonts w:ascii="Times New Roman" w:hAnsi="Times New Roman" w:cs="Times New Roman" w:eastAsia="SimSun"/>
                <w:sz w:val="24"/>
                <w:szCs w:val="24"/>
                <w:lang w:bidi="hi-IN" w:eastAsia="hi-IN"/>
              </w:rPr>
              <w:t xml:space="preserve"> (подпись)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SimSun"/>
                <w:color w:val="FF0000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Приказ 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№ 30_</w:t>
            </w:r>
            <w:r>
              <w:rPr>
                <w:rFonts w:ascii="Times New Roman" w:hAnsi="Times New Roman" w:cs="Times New Roman" w:eastAsia="SimSun"/>
                <w:lang w:bidi="hi-IN" w:eastAsia="hi-IN"/>
              </w:rPr>
              <w:t xml:space="preserve"> от 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«_01 » сентября_____2021_</w:t>
            </w:r>
            <w:r>
              <w:rPr>
                <w:rFonts w:ascii="Times New Roman" w:hAnsi="Times New Roman" w:cs="Times New Roman" w:eastAsia="SimSun"/>
                <w:u w:val="single"/>
                <w:lang w:bidi="hi-IN" w:eastAsia="hi-IN"/>
              </w:rPr>
              <w:t xml:space="preserve">г.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Разработчики: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b/>
          <w:sz w:val="24"/>
          <w:szCs w:val="24"/>
          <w:lang w:bidi="hi-IN" w:eastAsia="hi-IN"/>
        </w:rPr>
        <w:t xml:space="preserve">Р.М. </w:t>
      </w:r>
      <w:r>
        <w:rPr>
          <w:rFonts w:ascii="Times New Roman" w:hAnsi="Times New Roman" w:cs="Times New Roman" w:eastAsia="SimSun"/>
          <w:b/>
          <w:sz w:val="24"/>
          <w:szCs w:val="24"/>
          <w:lang w:bidi="hi-IN" w:eastAsia="hi-IN"/>
        </w:rPr>
        <w:t xml:space="preserve">Хамаева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, преподаватель МАУ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ДО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«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Детская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школа искусств» МР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Балтачевский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район РБ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Times New Roman" w:eastAsia="SimSun"/>
          <w:b/>
          <w:bCs/>
          <w:sz w:val="24"/>
          <w:szCs w:val="24"/>
          <w:lang w:bidi="hi-IN" w:eastAsia="hi-IN"/>
        </w:rPr>
        <w:t xml:space="preserve">Р.Г. Ахметова,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преподаватель МАУ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ДО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«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Детская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школа искусств» МР 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Балтачевский</w:t>
      </w: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  <w:t xml:space="preserve"> район РБ</w:t>
      </w:r>
      <w:r/>
    </w:p>
    <w:p>
      <w:pPr>
        <w:ind w:left="426"/>
        <w:jc w:val="both"/>
        <w:spacing w:after="0" w:line="360" w:lineRule="auto"/>
        <w:rPr>
          <w:rFonts w:ascii="Times New Roman" w:hAnsi="Times New Roman" w:cs="Times New Roman" w:eastAsia="SimSun"/>
          <w:b/>
          <w:bCs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b/>
          <w:bCs/>
          <w:sz w:val="24"/>
          <w:szCs w:val="24"/>
          <w:lang w:bidi="hi-IN" w:eastAsia="hi-I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SimSun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SimSun"/>
          <w:sz w:val="24"/>
          <w:szCs w:val="24"/>
          <w:lang w:bidi="hi-IN" w:eastAsia="hi-I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Структура программы учебного предмета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Пояснительная записка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3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36"/>
          <w:lang w:eastAsia="ru-RU"/>
        </w:rPr>
        <w:t xml:space="preserve">         -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-  Срок реализации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Сведения о затратах учебного времени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Форма проведения учебных аудиторных занятий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Цели и задачи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Структура программы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Методы обучения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- Описание материально-технических условий реализации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Содержание учебного предмета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- Учебно-тематический план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- Годовые требования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Требования к уровню подготовки учащихся</w:t>
      </w:r>
      <w:r/>
    </w:p>
    <w:p>
      <w:pPr>
        <w:ind w:left="1140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- 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Требования к уровню подготовки на различных этапах обучения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Формы и методы контроля, система оценок</w:t>
      </w:r>
      <w:r/>
    </w:p>
    <w:p>
      <w:pPr>
        <w:ind w:left="1140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     - 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Аттестация: цели, виды, форма, содержание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- Критерии оценки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Методическое обеспечение учебного процесса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Список учебной и методической литературы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- Список рекомендуемой учебной литературы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- Список рекомендуемой методической литературы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    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ru-RU"/>
        </w:rPr>
        <w:t xml:space="preserve">. ПОЯСНИТЕЛЬНАЯ ЗАПИСКА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                     Характеристика учебного процесса, его место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и роль в образовательном процессе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Программа учебного предмета «Сольное пение» разработана на основе  «Рекомендаций по организации образовательной и методической деятельности при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вокального исполнительства в детских школах искусств.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Программа обучения сольному пению в Детской школе 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искусств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ставит своей целью дать учащимся возможность овладеть основами певческих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навыков, приобщиться к наследию русской и мировой классики.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Программа имеет общеразвивающую направленность, 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lang w:eastAsia="ru-RU"/>
        </w:rPr>
        <w:t xml:space="preserve">основывается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Данная программа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рассчитана на пятилетний срок обучения.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Рекомендуемый возраст детей, приступающих к освоению программы - 6 – 1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вокальные занятия формы ансамблевого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этого может потребоваться увеличение объема недельной аудиторной нагрузки.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Занятия ансамблевым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Срок реализации учебного предмета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реализации программы учебного предмета «Сольное пение» со сроком обучения 5 лет, продолжительность учебных занятий с первого по пятый годы обучения составляет 34 недели в год.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Сведения о затратах учебного времени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3"/>
        <w:gridCol w:w="626"/>
        <w:gridCol w:w="511"/>
        <w:gridCol w:w="684"/>
        <w:gridCol w:w="684"/>
        <w:gridCol w:w="684"/>
        <w:gridCol w:w="684"/>
        <w:gridCol w:w="496"/>
        <w:gridCol w:w="519"/>
        <w:gridCol w:w="496"/>
        <w:gridCol w:w="561"/>
        <w:gridCol w:w="1528"/>
      </w:tblGrid>
      <w:tr>
        <w:trPr>
          <w:jc w:val="center"/>
        </w:trPr>
        <w:tc>
          <w:tcPr>
            <w:shd w:val="clear" w:color="auto" w:fill="auto"/>
            <w:tcW w:w="19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 учебной работы,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нагрузки,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ahoma" w:eastAsia="Lucida Sans Unicode"/>
                <w:sz w:val="24"/>
                <w:szCs w:val="24"/>
                <w:lang w:bidi="hi-IN" w:eastAsia="zh-CN"/>
              </w:rPr>
              <w:t xml:space="preserve">аттестации</w:t>
            </w:r>
            <w:r/>
          </w:p>
        </w:tc>
        <w:tc>
          <w:tcPr>
            <w:gridSpan w:val="10"/>
            <w:shd w:val="clear" w:color="auto" w:fill="auto"/>
            <w:tcW w:w="6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Затраты учебного времени</w:t>
            </w:r>
            <w:r/>
          </w:p>
        </w:tc>
        <w:tc>
          <w:tcPr>
            <w:shd w:val="clear" w:color="auto" w:fill="auto"/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ahoma" w:eastAsia="Lucida Sans Unicode"/>
                <w:sz w:val="24"/>
                <w:szCs w:val="24"/>
                <w:lang w:bidi="hi-IN" w:eastAsia="zh-CN"/>
              </w:rPr>
              <w:t xml:space="preserve">Всего часов</w:t>
            </w:r>
            <w:r/>
          </w:p>
        </w:tc>
      </w:tr>
      <w:tr>
        <w:trPr>
          <w:jc w:val="center"/>
        </w:trPr>
        <w:tc>
          <w:tcPr>
            <w:shd w:val="clear" w:color="auto" w:fill="f2f2f2"/>
            <w:tcW w:w="19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Годы обучения</w:t>
            </w:r>
            <w:r/>
          </w:p>
        </w:tc>
        <w:tc>
          <w:tcPr>
            <w:gridSpan w:val="2"/>
            <w:shd w:val="clear" w:color="auto" w:fill="f2f2f2"/>
            <w:tcW w:w="11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1-й год</w:t>
            </w:r>
            <w:r/>
          </w:p>
        </w:tc>
        <w:tc>
          <w:tcPr>
            <w:gridSpan w:val="2"/>
            <w:shd w:val="clear" w:color="auto" w:fill="f2f2f2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2-й год</w:t>
            </w:r>
            <w:r/>
          </w:p>
        </w:tc>
        <w:tc>
          <w:tcPr>
            <w:gridSpan w:val="2"/>
            <w:shd w:val="clear" w:color="auto" w:fill="f2f2f2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3-й год</w:t>
            </w:r>
            <w:r/>
          </w:p>
        </w:tc>
        <w:tc>
          <w:tcPr>
            <w:gridSpan w:val="2"/>
            <w:shd w:val="clear" w:color="auto" w:fill="f2f2f2"/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ru-RU"/>
              </w:rPr>
              <w:t xml:space="preserve">4-й год</w:t>
            </w:r>
            <w:r/>
          </w:p>
        </w:tc>
        <w:tc>
          <w:tcPr>
            <w:gridSpan w:val="2"/>
            <w:shd w:val="clear" w:color="auto" w:fill="f2f2f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ru-RU"/>
              </w:rPr>
              <w:t xml:space="preserve">5-й год</w:t>
            </w:r>
            <w:r/>
          </w:p>
        </w:tc>
        <w:tc>
          <w:tcPr>
            <w:shd w:val="clear" w:color="auto" w:fill="auto"/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r>
            <w:r/>
          </w:p>
        </w:tc>
      </w:tr>
      <w:tr>
        <w:trPr>
          <w:jc w:val="center"/>
          <w:trHeight w:val="330"/>
        </w:trPr>
        <w:tc>
          <w:tcPr>
            <w:shd w:val="clear" w:color="auto" w:fill="f2f2f2"/>
            <w:tcW w:w="19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Полугодия</w:t>
            </w:r>
            <w:r/>
          </w:p>
        </w:tc>
        <w:tc>
          <w:tcPr>
            <w:shd w:val="clear" w:color="auto" w:fill="f2f2f2"/>
            <w:tcW w:w="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</w:t>
            </w:r>
            <w:r/>
          </w:p>
        </w:tc>
        <w:tc>
          <w:tcPr>
            <w:shd w:val="clear" w:color="auto" w:fill="f2f2f2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2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</w:t>
            </w:r>
            <w:r/>
          </w:p>
        </w:tc>
        <w:tc>
          <w:tcPr>
            <w:shd w:val="clear" w:color="auto" w:fill="f2f2f2"/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4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5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</w:t>
            </w:r>
            <w:r/>
          </w:p>
        </w:tc>
        <w:tc>
          <w:tcPr>
            <w:shd w:val="clear" w:color="auto" w:fill="f2f2f2"/>
            <w:tcW w:w="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</w:t>
            </w:r>
            <w:r/>
          </w:p>
        </w:tc>
        <w:tc>
          <w:tcPr>
            <w:shd w:val="clear" w:color="auto" w:fill="f2f2f2"/>
            <w:tcW w:w="5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8</w:t>
            </w:r>
            <w:r/>
          </w:p>
        </w:tc>
        <w:tc>
          <w:tcPr>
            <w:shd w:val="clear" w:color="auto" w:fill="f2f2f2"/>
            <w:tcW w:w="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9</w:t>
            </w:r>
            <w:r/>
          </w:p>
        </w:tc>
        <w:tc>
          <w:tcPr>
            <w:shd w:val="clear" w:color="auto" w:fill="f2f2f2"/>
            <w:tcW w:w="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10</w:t>
            </w:r>
            <w:r/>
          </w:p>
        </w:tc>
        <w:tc>
          <w:tcPr>
            <w:shd w:val="clear" w:color="auto" w:fill="auto"/>
            <w:tcW w:w="16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r>
            <w:r/>
          </w:p>
        </w:tc>
      </w:tr>
      <w:tr>
        <w:trPr>
          <w:jc w:val="center"/>
          <w:trHeight w:val="150"/>
        </w:trPr>
        <w:tc>
          <w:tcPr>
            <w:shd w:val="clear" w:color="auto" w:fill="f2f2f2"/>
            <w:tcW w:w="19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недель</w:t>
            </w:r>
            <w:r/>
          </w:p>
        </w:tc>
        <w:tc>
          <w:tcPr>
            <w:shd w:val="clear" w:color="auto" w:fill="f2f2f2"/>
            <w:tcW w:w="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16</w:t>
            </w:r>
            <w:r/>
          </w:p>
        </w:tc>
        <w:tc>
          <w:tcPr>
            <w:shd w:val="clear" w:color="auto" w:fill="f2f2f2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18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16</w:t>
            </w:r>
            <w:r/>
          </w:p>
        </w:tc>
        <w:tc>
          <w:tcPr>
            <w:shd w:val="clear" w:color="auto" w:fill="f2f2f2"/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18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16</w:t>
            </w:r>
            <w:r/>
          </w:p>
        </w:tc>
        <w:tc>
          <w:tcPr>
            <w:shd w:val="clear" w:color="auto" w:fill="f2f2f2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18</w:t>
            </w:r>
            <w:r/>
          </w:p>
        </w:tc>
        <w:tc>
          <w:tcPr>
            <w:shd w:val="clear" w:color="auto" w:fill="f2f2f2"/>
            <w:tcW w:w="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16</w:t>
            </w:r>
            <w:r/>
          </w:p>
        </w:tc>
        <w:tc>
          <w:tcPr>
            <w:shd w:val="clear" w:color="auto" w:fill="f2f2f2"/>
            <w:tcW w:w="5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18</w:t>
            </w:r>
            <w:r/>
          </w:p>
        </w:tc>
        <w:tc>
          <w:tcPr>
            <w:shd w:val="clear" w:color="auto" w:fill="f2f2f2"/>
            <w:tcW w:w="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16</w:t>
            </w:r>
            <w:r/>
          </w:p>
        </w:tc>
        <w:tc>
          <w:tcPr>
            <w:shd w:val="clear" w:color="auto" w:fill="f2f2f2"/>
            <w:tcW w:w="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18</w:t>
            </w:r>
            <w:r/>
          </w:p>
        </w:tc>
        <w:tc>
          <w:tcPr>
            <w:shd w:val="clear" w:color="auto" w:fill="auto"/>
            <w:tcW w:w="16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9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Аудиторные занятия </w:t>
            </w:r>
            <w:r/>
          </w:p>
        </w:tc>
        <w:tc>
          <w:tcPr>
            <w:shd w:val="clear" w:color="auto" w:fill="auto"/>
            <w:tcW w:w="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340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9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/>
          </w:p>
        </w:tc>
        <w:tc>
          <w:tcPr>
            <w:shd w:val="clear" w:color="auto" w:fill="auto"/>
            <w:tcW w:w="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32</w:t>
            </w:r>
            <w:r/>
          </w:p>
        </w:tc>
        <w:tc>
          <w:tcPr>
            <w:shd w:val="clear" w:color="auto" w:fill="auto"/>
            <w:tcW w:w="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36</w:t>
            </w:r>
            <w:r/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340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19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  <w:r/>
          </w:p>
        </w:tc>
        <w:tc>
          <w:tcPr>
            <w:shd w:val="clear" w:color="auto" w:fill="auto"/>
            <w:tcW w:w="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64</w:t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72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64</w:t>
            </w:r>
            <w:r/>
          </w:p>
        </w:tc>
        <w:tc>
          <w:tcPr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72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64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72</w:t>
            </w:r>
            <w:r/>
          </w:p>
        </w:tc>
        <w:tc>
          <w:tcPr>
            <w:shd w:val="clear" w:color="auto" w:fill="auto"/>
            <w:tcW w:w="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64</w:t>
            </w:r>
            <w:r/>
          </w:p>
        </w:tc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72</w:t>
            </w:r>
            <w:r/>
          </w:p>
        </w:tc>
        <w:tc>
          <w:tcPr>
            <w:shd w:val="clear" w:color="auto" w:fill="auto"/>
            <w:tcW w:w="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64</w:t>
            </w:r>
            <w:r/>
          </w:p>
        </w:tc>
        <w:tc>
          <w:tcPr>
            <w:shd w:val="clear" w:color="auto" w:fill="auto"/>
            <w:tcW w:w="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72</w:t>
            </w:r>
            <w:r/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</w:pPr>
            <w:r>
              <w:rPr>
                <w:rFonts w:ascii="Times New Roman" w:hAnsi="Times New Roman" w:cs="Times New Roman" w:eastAsia="Lucida Sans Unicode"/>
                <w:sz w:val="28"/>
                <w:szCs w:val="28"/>
                <w:lang w:bidi="hi-IN" w:eastAsia="zh-CN"/>
              </w:rPr>
              <w:t xml:space="preserve">680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8"/>
        </w:rPr>
      </w:pPr>
      <w:r>
        <w:rPr>
          <w:rFonts w:ascii="Times New Roman" w:hAnsi="Times New Roman" w:cs="Times New Roman" w:eastAsia="Calibri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образовательной организации на реализацию учебного предмета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Общая трудоемкость учебного предмета «Вокальное исполнительство» при 5-летнем сроке обучения составляет 680 часов.  Из них: 340 часов – аудиторные занятия, 340 часов – самостоятельная работа</w:t>
      </w:r>
      <w:r>
        <w:rPr>
          <w:rFonts w:ascii="Times New Roman" w:hAnsi="Times New Roman" w:cs="Times New Roman" w:eastAsia="Times New Roman"/>
          <w:i/>
          <w:color w:val="FF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Рекомендуемая недельная нагрузка в часах: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Аудиторные занятия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2"/>
        </w:numPr>
        <w:contextualSpacing/>
        <w:ind w:firstLine="851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- 5 классы – по 2 часа в неделю.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Самостоятельная работа (внеаудиторная нагрузка):</w:t>
      </w:r>
      <w:r/>
    </w:p>
    <w:p>
      <w:pPr>
        <w:numPr>
          <w:ilvl w:val="0"/>
          <w:numId w:val="3"/>
        </w:numPr>
        <w:contextualSpacing/>
        <w:ind w:firstLine="851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1-5 классы – по 2 часа в неделю.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Форма проведения учебных занятий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Занятия проводятся в индивидуальной форме. Индивидуальная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 форма занятий позволяют преподавателю построить процесс обучения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соответствии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принципами дифференцированного и индивидуального подходов.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Цель и задачи учебного предмета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Целью учебного предмета является обеспечение развития творческих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вокального пения, устойчивого интереса к самостоятельной деятельности в области музыкального искусства.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Задачи учебного предмета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создание условий для художественного образования, эстетического воспитания, духовно-нравственного развития детей;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воспитание активного слушателя, зрителя, участника творческой самодеятельности.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Воспитание певческих навыков,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Приобретение орфоэпических навыков в разговорной и певческой речи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Вырабатывание певческого дыхания;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  <w:r/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воспитание у детей культуры сольного и ансамблевого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стремления к практическому использованию приобретенных   знаний, умений и навыков вокального исполнительства.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Структура программы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 w:eastAsia="Helvetic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Helvetica"/>
          <w:color w:val="000000"/>
          <w:sz w:val="28"/>
          <w:szCs w:val="28"/>
          <w:lang w:eastAsia="ru-RU"/>
        </w:rPr>
        <w:t xml:space="preserve">Программа содержит следующие разделы: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сведения о затратах учебного времени, предусмотренного на освоение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учебного предмета;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распределение учебного материала по годам обучения;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описание дидактических единиц учебного предмета;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требования к уровню подготовки учащихся;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sz w:val="28"/>
          <w:szCs w:val="28"/>
        </w:rPr>
        <w:t xml:space="preserve">формы и методы контроля, система оценок, итоговая аттестация;</w:t>
      </w:r>
      <w:r/>
    </w:p>
    <w:p>
      <w:pPr>
        <w:numPr>
          <w:ilvl w:val="0"/>
          <w:numId w:val="4"/>
        </w:numPr>
        <w:contextualSpacing/>
        <w:ind w:firstLine="71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</w:rPr>
        <w:t xml:space="preserve">методическое обеспечение учебного процесса.</w:t>
      </w:r>
      <w:r/>
    </w:p>
    <w:p>
      <w:pPr>
        <w:ind w:left="-426" w:firstLine="710"/>
        <w:jc w:val="both"/>
        <w:spacing w:after="0" w:line="240" w:lineRule="auto"/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Geeza Pro"/>
          <w:color w:val="000000"/>
          <w:sz w:val="28"/>
          <w:szCs w:val="28"/>
          <w:lang w:eastAsia="ru-RU"/>
        </w:rPr>
        <w:t xml:space="preserve">В соответствии с данными направлениями строится основной раздел    программы «Содержание учебного предмета».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Методы обучения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Helvetic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Helvetica"/>
          <w:color w:val="000000"/>
          <w:sz w:val="28"/>
          <w:szCs w:val="28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  <w:t xml:space="preserve">- словесный (объяснение, беседа, рассказ);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  <w:t xml:space="preserve">- наглядный (показ, наблюдение, демонстрация приемов работы);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  <w:t xml:space="preserve">- практический (освоение приемов вокального исполнительства);</w:t>
      </w:r>
      <w:r/>
    </w:p>
    <w:p>
      <w:pPr>
        <w:ind w:firstLine="709"/>
        <w:jc w:val="both"/>
        <w:spacing w:after="240" w:line="240" w:lineRule="auto"/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Geeza Pro"/>
          <w:color w:val="000000"/>
          <w:sz w:val="28"/>
          <w:szCs w:val="28"/>
          <w:lang w:bidi="hi-IN" w:eastAsia="hi-IN"/>
        </w:rPr>
        <w:t xml:space="preserve">-эмоциональный (подбор ассоциаций, образов, художественные впечатления).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Описание материально-технических условий реализации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учебного предмета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Реализация программы учебного предмета «Сольное пение» обеспечивается:</w:t>
      </w:r>
      <w:r/>
    </w:p>
    <w:p>
      <w:pPr>
        <w:numPr>
          <w:ilvl w:val="0"/>
          <w:numId w:val="6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доступом каждого учащегося к библиотечным фондам и фондам фонотеки, аудио и видеозаписей; </w:t>
      </w:r>
      <w:r/>
    </w:p>
    <w:p>
      <w:pPr>
        <w:numPr>
          <w:ilvl w:val="0"/>
          <w:numId w:val="6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учебными аудиториями для индивидуальных занятий, оснащенными пианино и имеющими звукоизоляцию.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образовательной организации созданы условия для содержания, своевременного обслуживания и ремонта музыкальных инструментов.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Материально-техническая база должна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соответствует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санитарным и противопожарным нормам, нормам охраны труда.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. СОДЕРЖАНИЕ УЧЕБНОГО ПРЕДМЕТА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Годовые требования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Учебная программа по предмету «Сольное пение» рассчитана на 5 лет. В распределении учебного материала по годам обучения учтен принцип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систематического и последовательного обучения. Последовательность в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предметом до самостоятельного разбора и исполнения музыкального произведения.</w:t>
      </w:r>
      <w:r/>
    </w:p>
    <w:p>
      <w:pPr>
        <w:ind w:left="120" w:firstLine="588"/>
        <w:jc w:val="both"/>
        <w:spacing w:after="0" w:line="240" w:lineRule="auto"/>
        <w:rPr>
          <w:rFonts w:ascii="Times New Roman" w:hAnsi="Times New Roman" w:cs="Times New Roman" w:eastAsia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Содержание учебного предмета «Сольное пение» соответствует направленности общеразвивающей программы на приобщение учащихся к любительскому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eastAsia="ru-RU"/>
        </w:rPr>
        <w:t xml:space="preserve"> 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учащихся.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Важной составляющей развития музыкальных способностей ребенка является работа в ансамбле.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                                           Первый год обучения 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Ознакомление с предметом «Сольное пение». Педагог в начале работы выявляет индивидуальные данные уч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еника, определяет слуховые данные, примарную зону, наличие вокально-слуховой координации. На начальном этапе обучения большая часть времени уделяется дыхательным и вокальным упражнениям. По мере усвоения певческих навыков, вводится работа над репертуаром.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первого года обучения учащийся должен: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иметь элементарное представление о голосовом аппарате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знать, что такое правильная постановка корпуса при пении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уметь правильно пользоваться певческим дыханием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правильно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певчески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формировать гласные в сочетании с согласными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работе с учащимися следует пользоваться средним регистром, неширокими интервалами в медленном темпе, тщательно работать над интонацией, избегать форсирования звука.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года обучения учащийся должен пройти 4-6 песен различной сложности (в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обьеме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квинты).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год учащийся может выступать на классных и академических вечерах. Оценки за работу в классе и дома, а также по результатам публичных выступлений 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выставляются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педагогом по четвертям.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Второй год обучения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втором году обучения ведется работа над углублением вокально-технических и музыкально-художественных навыков.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Второй год обучения предполагает расширение диапазона. Преподаватель работает над выравниванием звучания, над сглаживанием регистров, продолжает работу по организации дыхания.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работе над вокализами следует уделять большое внимание пластичному ведению звука, добиваться ощущения движения мелодии, ее развития и кульминации.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Важной задачей является стремление к смысловому единству текста и музыки.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данном этапе следует избегать слишком высокой и низкой тесситуры, эмоциональной перегрузки.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Аттестация проводиться в конце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полугодия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 промежуточная аттестация в виде экзамена или зачета с оценкой или академического концерта.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года учащийся должен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пройти: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2-3 вокализа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4-5 нетрудных вокальных произведения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    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Третий год обучения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3 классе закрепляются и совершенствуются навыки, полученные ранее. Продолжается работа над: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расширением диапазона голоса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выравниванием звучания на протяжении всего диапазона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развитием четкой дикции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выразительностью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чистотой интонации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над выработкой динамических оттенков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над первоначальным знакомством с формами и группетто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над создание художественного образа.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год учащийся должен освоить: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2 -3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вокализа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2-3 арии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 романсов и песен русских и зарубежных композиторов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Четвертый год обучения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этом классе ведется работа над углублением вокально-технических и музыкально-художественных навыков.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4-й год обучения предполагает расширение диапазона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Преподаватель работает над выравниванием звучания, над сглаживанием регистров, продолжает трудиться над организацией дыхания.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Важной задачей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является стремление к смысловому единству текста и музыки.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Помимо академических прослушиваний учащимся рекомендуется не менее двух раз участвовать в открытых концертах.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года учащийся должен проработать: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арии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3-6 романсов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2-3 народные песни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2-3 произведения современных композиторов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Пятый год обучения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седьмом году обучения идет закрепление и совершенствование вокальных навыков, полученных за все время обучения, большое значение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уделяется работе над осмыслением литературных текстов, работе с драматургическим планом произведений.</w:t>
      </w:r>
      <w:r/>
    </w:p>
    <w:p>
      <w:pPr>
        <w:ind w:left="284" w:firstLine="142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На выпускном экзамене учащийся исполняет:</w:t>
      </w:r>
      <w:r/>
    </w:p>
    <w:p>
      <w:pPr>
        <w:ind w:left="284" w:firstLine="142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арии</w:t>
      </w:r>
      <w:r/>
    </w:p>
    <w:p>
      <w:pPr>
        <w:ind w:left="284" w:firstLine="142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романса</w:t>
      </w:r>
      <w:r/>
    </w:p>
    <w:p>
      <w:pPr>
        <w:ind w:left="284" w:firstLine="142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Народная песня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 ТРЕБОВАНИЯ К УРОВНЮ ПОДГОТОВКИ УЧАЩИХСЯ</w:t>
      </w:r>
      <w:r/>
    </w:p>
    <w:p>
      <w:pPr>
        <w:ind w:left="284" w:right="-241"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Результатом освоения программы по учебному предмету «Сольное пение» является приобретение учащимися следующих знаний, умений и навыков: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навыков исполнения музыкальных произведений (сольное исполнение, ансамблевое исполнение);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умений использовать выразительные средства для создания художественного образа;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умений самостоятельно разучивать музыкальные произведения различных жанров и стилей;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знаний основ музыкальной грамоты;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знаний основных средств выразительности, используемых в музыкальном искусстве;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знаний наиболее употребляемой музыкальной терминологии;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навыков публичных выступлений;</w:t>
      </w:r>
      <w:r/>
    </w:p>
    <w:p>
      <w:pPr>
        <w:numPr>
          <w:ilvl w:val="0"/>
          <w:numId w:val="10"/>
        </w:numPr>
        <w:ind w:left="284" w:right="-24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навыков общения со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слушательской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  <w:r/>
    </w:p>
    <w:p>
      <w:pPr>
        <w:ind w:left="284" w:right="-241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284" w:right="-241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ФОРМЫ И МЕТОДЫ КОНТРОЛЯ. КРИТЕРИИ ОЦЕНОК</w:t>
      </w:r>
      <w:r/>
    </w:p>
    <w:p>
      <w:pPr>
        <w:ind w:left="284" w:right="-241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Контроль знаний, умений, навыков учащихся обе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Основными видами контроля успеваемости по предмету «Сольное пение» являются:</w:t>
      </w:r>
      <w:r/>
    </w:p>
    <w:p>
      <w:pPr>
        <w:numPr>
          <w:ilvl w:val="0"/>
          <w:numId w:val="7"/>
        </w:num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текущий контроль успеваемости учащихся,</w:t>
      </w:r>
      <w:r/>
    </w:p>
    <w:p>
      <w:pPr>
        <w:numPr>
          <w:ilvl w:val="0"/>
          <w:numId w:val="7"/>
        </w:num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промежуточная аттестация,</w:t>
      </w:r>
      <w:r/>
    </w:p>
    <w:p>
      <w:pPr>
        <w:numPr>
          <w:ilvl w:val="0"/>
          <w:numId w:val="7"/>
        </w:num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итоговая аттестация.</w:t>
      </w:r>
      <w:r/>
    </w:p>
    <w:p>
      <w:pPr>
        <w:ind w:left="284" w:right="-383"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lang w:eastAsia="ru-RU"/>
        </w:rPr>
        <w:t xml:space="preserve">Текущая аттестация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проводится с целью контроля за качеством освоения какого-либо раздела учебного материала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  <w:r/>
    </w:p>
    <w:p>
      <w:pPr>
        <w:ind w:left="284" w:right="-383"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Текущий контроль осуществляется регулярно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преподавателем, отметки выставляются в журнал и дневник учащегося. В них учитываются:</w:t>
      </w:r>
      <w:r/>
    </w:p>
    <w:p>
      <w:pPr>
        <w:numPr>
          <w:ilvl w:val="0"/>
          <w:numId w:val="8"/>
        </w:numPr>
        <w:ind w:left="284" w:right="-383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отношение ученика к занятиям, его старание, прилежность;</w:t>
      </w:r>
      <w:r/>
    </w:p>
    <w:p>
      <w:pPr>
        <w:numPr>
          <w:ilvl w:val="0"/>
          <w:numId w:val="8"/>
        </w:numPr>
        <w:ind w:left="284" w:right="-383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качество выполнения домашних заданий;</w:t>
      </w:r>
      <w:r/>
    </w:p>
    <w:p>
      <w:pPr>
        <w:numPr>
          <w:ilvl w:val="0"/>
          <w:numId w:val="8"/>
        </w:numPr>
        <w:ind w:left="284" w:right="-383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инициативность и проявление самостоятельности - как на уроке, так и во время домашней работы;</w:t>
      </w:r>
      <w:r/>
    </w:p>
    <w:p>
      <w:pPr>
        <w:numPr>
          <w:ilvl w:val="0"/>
          <w:numId w:val="8"/>
        </w:numPr>
        <w:ind w:left="284" w:right="-383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темпы продвижения.</w:t>
      </w:r>
      <w:r/>
    </w:p>
    <w:p>
      <w:pPr>
        <w:ind w:left="284" w:right="-383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ru-RU"/>
        </w:rPr>
        <w:t xml:space="preserve">На основании результатов текущего контроля выводятся четвертные оценки. </w:t>
      </w:r>
      <w:r/>
    </w:p>
    <w:p>
      <w:pPr>
        <w:ind w:left="284" w:right="-99"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Промежуточная аттестация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</w:t>
      </w:r>
      <w:r/>
    </w:p>
    <w:p>
      <w:pPr>
        <w:ind w:left="284" w:right="-99" w:firstLine="708"/>
        <w:jc w:val="both"/>
        <w:spacing w:after="0" w:line="240" w:lineRule="auto"/>
        <w:rPr>
          <w:rFonts w:ascii="Times New Roman" w:hAnsi="Times New Roman" w:cs="Tahoma" w:eastAsia="Times New Roman"/>
          <w:sz w:val="28"/>
          <w:szCs w:val="28"/>
          <w:lang w:eastAsia="ru-RU"/>
        </w:rPr>
      </w:pPr>
      <w:r>
        <w:rPr>
          <w:rFonts w:ascii="Times New Roman" w:hAnsi="Times New Roman" w:cs="Tahoma" w:eastAsia="Times New Roman"/>
          <w:sz w:val="28"/>
          <w:szCs w:val="28"/>
          <w:lang w:eastAsia="ru-RU"/>
        </w:rPr>
        <w:t xml:space="preserve">Наиболее распространенными формами промежуточной аттестации являются зачеты, академические конц</w:t>
      </w:r>
      <w:r>
        <w:rPr>
          <w:rFonts w:ascii="Times New Roman" w:hAnsi="Times New Roman" w:cs="Tahoma" w:eastAsia="Times New Roman"/>
          <w:sz w:val="28"/>
          <w:szCs w:val="28"/>
          <w:lang w:eastAsia="ru-RU"/>
        </w:rPr>
        <w:t xml:space="preserve">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  <w:r/>
    </w:p>
    <w:p>
      <w:pPr>
        <w:ind w:left="284" w:right="-99"/>
        <w:jc w:val="center"/>
        <w:spacing w:after="0" w:line="240" w:lineRule="auto"/>
        <w:rPr>
          <w:rFonts w:ascii="Times New Roman" w:hAnsi="Times New Roman" w:cs="Tahoma" w:eastAsia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ahoma" w:eastAsia="Times New Roman"/>
          <w:b/>
          <w:bCs/>
          <w:i/>
          <w:sz w:val="28"/>
          <w:szCs w:val="28"/>
          <w:lang w:eastAsia="ru-RU"/>
        </w:rPr>
        <w:t xml:space="preserve">Итоговая аттестация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ahoma" w:eastAsia="Times New Roman"/>
          <w:sz w:val="28"/>
          <w:szCs w:val="28"/>
          <w:lang w:eastAsia="ru-RU"/>
        </w:rPr>
      </w:pPr>
      <w:r>
        <w:rPr>
          <w:rFonts w:ascii="Times New Roman" w:hAnsi="Times New Roman" w:cs="Tahoma" w:eastAsia="Times New Roman"/>
          <w:sz w:val="28"/>
          <w:szCs w:val="28"/>
          <w:lang w:eastAsia="ru-RU"/>
        </w:rPr>
        <w:t xml:space="preserve">Форма и содержание итоговой аттестации по учебному предмету «Вокальное исполнительство» устанавливаются образовательной организацией самостоятельно. При проведении итоговой аттестации может применяться форма экзамена. </w:t>
      </w:r>
      <w:r/>
    </w:p>
    <w:p>
      <w:pPr>
        <w:ind w:left="284" w:right="-99"/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Критерии оценки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Критерии оценки качества подготовки учащегося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позволяют определить уровень освоения 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атериала, предусмотренного учебной программой. Основным критерием оценок учащегося, осваивающего общеразвивающую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оценивании учащегося, осваивающегося общеразвивающую программу, следует учитывать: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формирование устойчивого интереса к музыкальному искусству, к занятиям музыкой;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наличие исполнительской культуры, развитие музыкального мышления; 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степень продвижения учащегося, успешность личностных достижений.</w:t>
      </w:r>
      <w:r/>
    </w:p>
    <w:p>
      <w:pPr>
        <w:ind w:left="284" w:right="-99"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 итогам исполнения программы на зачете, академическом прослушивании выставляется оценка по пятибалльной шкале: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53"/>
        <w:gridCol w:w="6203"/>
      </w:tblGrid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Оценка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Критерии оценивания выступления</w:t>
            </w:r>
            <w:r/>
          </w:p>
        </w:tc>
      </w:tr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 («отлично»)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звукоизвлечение</w:t>
            </w: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  <w:r/>
          </w:p>
        </w:tc>
      </w:tr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 («хорошо»)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  <w:r/>
          </w:p>
        </w:tc>
      </w:tr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 («удовлетворительно»)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ind w:hanging="3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  <w:r/>
          </w:p>
        </w:tc>
      </w:tr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 («неудовлетворительно»)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ind w:hanging="3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  <w:t xml:space="preserve">незнание наизусть нотного текста, слабое владение вокальными навыками, подразумевающее плохую посещаемость занятий и слабую самостоятельную работу</w:t>
            </w:r>
            <w:r/>
          </w:p>
        </w:tc>
      </w:tr>
      <w:tr>
        <w:trPr>
          <w:jc w:val="center"/>
        </w:trPr>
        <w:tc>
          <w:tcPr>
            <w:tcW w:w="32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«зачет» (без отметки)</w:t>
            </w:r>
            <w:r/>
          </w:p>
        </w:tc>
        <w:tc>
          <w:tcPr>
            <w:tcW w:w="6307" w:type="dxa"/>
            <w:textDirection w:val="lrTb"/>
            <w:noWrap w:val="false"/>
          </w:tcPr>
          <w:p>
            <w:pPr>
              <w:ind w:hanging="3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ヒラギノ角ゴ Pro W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Helvetica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МЕТОДИЧЕСКОЕ ОБЕСПЕЧЕНИЕ УЧЕБНОГО   ПРОЦЕССА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Методические рекомендации преподавателям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Пятилетний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приобщиться к любительскому сольному и ансамблевому пению.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Важнейши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учитывающих оценку их интеллектуальных, физических, музыкальных и эмоциональных данных, уровень подготовки.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Достичь более высоких результатов в обучении и развитии творческих способностей учащихся, полнее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  <w:r/>
    </w:p>
    <w:p>
      <w:pPr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разработка педагогом заданий различной трудности и объема;</w:t>
      </w:r>
      <w:r/>
    </w:p>
    <w:p>
      <w:pPr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разная мера помощи преподавателя учащимся при выполнении учебных заданий;</w:t>
      </w:r>
      <w:r/>
    </w:p>
    <w:p>
      <w:pPr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вариативность темпа освоения учебного материала;</w:t>
      </w:r>
      <w:r/>
    </w:p>
    <w:p>
      <w:pPr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индивидуальные и дифференцированные домашние задания.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Основной задачей применения принципов дифференциации и индивидуализации при объяснении материала является актуализация полученных учениками знаний. Важно вспомнить именно то, что будет необходимо при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Основное время на уроке отводится практической деятельности, поэтому создание творческой атмосферы способствует ее продуктивности.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заключительном этапе ученики имеют опыт исполнения произведений классической и современной музыки, опыт сольного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ансамблевого</w:t>
      </w:r>
      <w:r>
        <w:rPr>
          <w:rFonts w:ascii="Times New Roman" w:hAnsi="Times New Roman" w:cs="Times New Roman" w:eastAsia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музицирования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Исходя из этого опыта,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применяются, в том числе, при подборе на слух.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вокальных навыков.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</w:t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numPr>
          <w:ilvl w:val="0"/>
          <w:numId w:val="1"/>
        </w:numPr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Helvetica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Helvetica"/>
          <w:b/>
          <w:color w:val="000000"/>
          <w:sz w:val="28"/>
          <w:szCs w:val="28"/>
          <w:lang w:eastAsia="ru-RU"/>
        </w:rPr>
        <w:t xml:space="preserve">СПИСКИ РЕКОМЕНДУЕМОЙ УЧЕБНОЙ И МЕТОДИЧЕСКОЙ ЛИТЕРАТУРЫ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Helvetica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Helvetica"/>
          <w:b/>
          <w:color w:val="000000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Милькович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Ек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Систематизированный вокально-педагогический репертуар. Часть 1 для высоких и средних голосов. Муз.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гиз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Москва 1962г.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2.  П. Понтрягин, Е. Вознесенская. Песни, романсы. Хрестоматия для пения. Изд. «Музыка» М. 1973г.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С.Фуки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, К. Фортунатова. Хрестоматия вокально-педагогического репертуара для сопрано. Часть 1. Изд. «Музыка» М. 1969г.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4.  Ф. Мендельсон. Избранные песни для голоса с фортепиано. Тетрадь 2 изд. «Музыка» М. 1966г.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5.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А.Даргомыжский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Избранные романсы для среднего и высокого голоса. Изд. «Музыка» 1987г.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6.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М.И.Мусоргский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Романсы и песни. Муз. Изд. 1963г.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7.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А.Гречанинов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Избранные романсы для голоса. Изд. «Музыка» 1981г.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8. 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М.Глинка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Избранные романсы для высокого голоса в сопровождении фортепиано. Изд. «Музыка» М. 1975г.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9. Дж. Верди. Избранные Арии из опер. Изд. «Музыка» М. 1968г.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Ю.А.Аренский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Избранные романсы для голоса в сопровождении фортепиано. Изд. «Музыка» М. 1986г.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Л.Бетховен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. Песни для голоса с фортепиано. Изд. «Музыка» М. 1967г.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11.  Стулова Г.П. Развитие детского голоса в процессе обучения пению. Москва. Изд. «Прометей» 1992 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Осеннева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 М.С., Самарин В.А., 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Уколова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 В.И. Методика работы с детским        вокально - хоровым коллективом. Учебное пособие. Москва «Академия» 1999г.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13.  Стулова Г.П.   Теория и практика работы с детским хором.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Учебное пособие. Москва «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Владос</w:t>
      </w: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» 2002 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14.  Морозов В.П. Искусство резонансного пения. Основы резонансной    теории и техники. Москва 2002 г.</w:t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ヒラギノ角ゴ Pro W3"/>
          <w:color w:val="000000"/>
          <w:sz w:val="28"/>
          <w:szCs w:val="28"/>
          <w:lang w:eastAsia="ru-RU"/>
        </w:rPr>
        <w:t xml:space="preserve">15. Вокально-хоровое обучение в современном музыкальном образовании. Сборник научно-методических трудов. Иркутск 2003.</w:t>
      </w:r>
      <w:r/>
    </w:p>
    <w:p>
      <w:pPr>
        <w:ind w:right="8689"/>
        <w:jc w:val="right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r/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19" w:right="1106" w:bottom="1134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eza pro">
    <w:panose1 w:val="05040102010807070707"/>
  </w:font>
  <w:font w:name="ヒラギノ角ゴ pro w3">
    <w:panose1 w:val="05040102010807070707"/>
  </w:font>
  <w:font w:name="Calibri">
    <w:panose1 w:val="020F0502020204030204"/>
  </w:font>
  <w:font w:name="Tahoma">
    <w:panose1 w:val="020B0506030602030204"/>
  </w:font>
  <w:font w:name="Lucida Sans Unicode">
    <w:panose1 w:val="020B0603030804020204"/>
  </w:font>
  <w:font w:name="helvetica">
    <w:panose1 w:val="020B0604020202020204"/>
  </w:font>
  <w:font w:name="SimSun">
    <w:panose1 w:val="02020603020101020101"/>
  </w:font>
  <w:font w:name="Wingdings">
    <w:panose1 w:val="05010000000000000000"/>
  </w:font>
  <w:font w:name="Mangal">
    <w:panose1 w:val="02020603050405020304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10</w:t>
    </w:r>
    <w:r>
      <w:fldChar w:fldCharType="end"/>
    </w:r>
    <w:r/>
  </w:p>
  <w:p>
    <w:pPr>
      <w:pStyle w:val="69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rPr>
        <w:rStyle w:val="694"/>
      </w:rPr>
      <w:framePr w:wrap="around" w:vAnchor="text" w:hAnchor="margin" w:xAlign="right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/>
  </w:p>
  <w:p>
    <w:pPr>
      <w:pStyle w:val="69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140" w:hanging="780"/>
        <w:tabs>
          <w:tab w:val="num" w:pos="114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8"/>
    <w:next w:val="68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8"/>
    <w:next w:val="68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8"/>
    <w:next w:val="68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8"/>
    <w:next w:val="68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8"/>
    <w:next w:val="68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8"/>
    <w:next w:val="68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8"/>
    <w:next w:val="68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8"/>
    <w:next w:val="68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9"/>
    <w:link w:val="32"/>
    <w:uiPriority w:val="10"/>
    <w:rPr>
      <w:sz w:val="48"/>
      <w:szCs w:val="48"/>
    </w:rPr>
  </w:style>
  <w:style w:type="paragraph" w:styleId="34">
    <w:name w:val="Subtitle"/>
    <w:basedOn w:val="688"/>
    <w:next w:val="68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9"/>
    <w:link w:val="34"/>
    <w:uiPriority w:val="11"/>
    <w:rPr>
      <w:sz w:val="24"/>
      <w:szCs w:val="24"/>
    </w:rPr>
  </w:style>
  <w:style w:type="paragraph" w:styleId="36">
    <w:name w:val="Quote"/>
    <w:basedOn w:val="688"/>
    <w:next w:val="68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8"/>
    <w:next w:val="68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9"/>
    <w:link w:val="40"/>
    <w:uiPriority w:val="99"/>
  </w:style>
  <w:style w:type="character" w:styleId="43">
    <w:name w:val="Footer Char"/>
    <w:basedOn w:val="689"/>
    <w:link w:val="692"/>
    <w:uiPriority w:val="99"/>
  </w:style>
  <w:style w:type="paragraph" w:styleId="44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6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9"/>
    <w:uiPriority w:val="99"/>
    <w:unhideWhenUsed/>
    <w:rPr>
      <w:vertAlign w:val="superscript"/>
    </w:rPr>
  </w:style>
  <w:style w:type="paragraph" w:styleId="176">
    <w:name w:val="endnote text"/>
    <w:basedOn w:val="68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9"/>
    <w:uiPriority w:val="99"/>
    <w:semiHidden/>
    <w:unhideWhenUsed/>
    <w:rPr>
      <w:vertAlign w:val="superscript"/>
    </w:rPr>
  </w:style>
  <w:style w:type="paragraph" w:styleId="179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Footer"/>
    <w:basedOn w:val="688"/>
    <w:link w:val="693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</w:rPr>
  </w:style>
  <w:style w:type="character" w:styleId="693" w:customStyle="1">
    <w:name w:val="Нижний колонтитул Знак"/>
    <w:basedOn w:val="689"/>
    <w:link w:val="692"/>
    <w:uiPriority w:val="99"/>
    <w:rPr>
      <w:rFonts w:ascii="Times New Roman" w:hAnsi="Times New Roman" w:cs="Times New Roman" w:eastAsia="Times New Roman"/>
      <w:sz w:val="24"/>
      <w:szCs w:val="24"/>
    </w:rPr>
  </w:style>
  <w:style w:type="character" w:styleId="694">
    <w:name w:val="page number"/>
    <w:basedOn w:val="68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Гульназ Лябиповна</cp:lastModifiedBy>
  <cp:revision>5</cp:revision>
  <dcterms:created xsi:type="dcterms:W3CDTF">2022-01-10T06:02:00Z</dcterms:created>
  <dcterms:modified xsi:type="dcterms:W3CDTF">2022-06-07T11:52:10Z</dcterms:modified>
</cp:coreProperties>
</file>